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427EA" w14:paraId="65169C0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E761EE" w14:textId="77777777" w:rsidR="00D427EA" w:rsidRDefault="00835DF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A4D1F0" w14:textId="77777777" w:rsidR="00D427EA" w:rsidRDefault="00835DF3">
            <w:pPr>
              <w:spacing w:after="0" w:line="240" w:lineRule="auto"/>
            </w:pPr>
            <w:r>
              <w:t>10715</w:t>
            </w:r>
          </w:p>
        </w:tc>
      </w:tr>
      <w:tr w:rsidR="00D427EA" w14:paraId="2E832D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6BDEEE" w14:textId="77777777" w:rsidR="00D427EA" w:rsidRDefault="00835DF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8542102" w14:textId="77777777" w:rsidR="00D427EA" w:rsidRDefault="00835DF3">
            <w:pPr>
              <w:spacing w:after="0" w:line="240" w:lineRule="auto"/>
            </w:pPr>
            <w:r>
              <w:t>OSNOVNA ŠKOLA "JOSIPDOL"</w:t>
            </w:r>
          </w:p>
        </w:tc>
      </w:tr>
      <w:tr w:rsidR="00D427EA" w14:paraId="0C4780C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7C51E3" w14:textId="77777777" w:rsidR="00D427EA" w:rsidRDefault="00835DF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15E5DF6" w14:textId="77777777" w:rsidR="00D427EA" w:rsidRDefault="00835DF3">
            <w:pPr>
              <w:spacing w:after="0" w:line="240" w:lineRule="auto"/>
            </w:pPr>
            <w:r>
              <w:t>31</w:t>
            </w:r>
          </w:p>
        </w:tc>
      </w:tr>
    </w:tbl>
    <w:p w14:paraId="2E2541E4" w14:textId="77777777" w:rsidR="00D427EA" w:rsidRDefault="00835DF3">
      <w:r>
        <w:br/>
      </w:r>
    </w:p>
    <w:p w14:paraId="665DA69C" w14:textId="77777777" w:rsidR="00D427EA" w:rsidRDefault="00835DF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1CDA642" w14:textId="77777777" w:rsidR="00D427EA" w:rsidRDefault="00835DF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7007EC" w14:textId="77777777" w:rsidR="00D427EA" w:rsidRDefault="00835DF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9ECA953" w14:textId="77777777" w:rsidR="00D427EA" w:rsidRDefault="00D427EA"/>
    <w:p w14:paraId="27289EA9" w14:textId="77777777" w:rsidR="00D427EA" w:rsidRDefault="00835DF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C5B7423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D313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34C2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CCA5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BF7A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7848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4DD6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DB47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3504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5C05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04EB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8105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8390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3.135.642,13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1277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3.337.340,21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51E8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  <w:tr w:rsidR="00D427EA" w14:paraId="34F1A4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3199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191BE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1592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5B8A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2.784.325,80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8F0B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3.226.722,29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8BDA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D427EA" w14:paraId="265130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E2991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D611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278C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0912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351.316,33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D991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110.617,92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5D2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31,5</w:t>
            </w:r>
          </w:p>
        </w:tc>
      </w:tr>
      <w:tr w:rsidR="00D427EA" w14:paraId="2EFCED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673C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4AC4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2EE5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EA72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F15F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AE20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27EA" w14:paraId="3AECBC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09C6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D818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EC48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72B0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294.807,49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A117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430.948,15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CFA5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  <w:tr w:rsidR="00D427EA" w14:paraId="72031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69CB5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693C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F68A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F573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294.807,49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2A76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394.403,15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C4DD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133,8</w:t>
            </w:r>
          </w:p>
        </w:tc>
      </w:tr>
      <w:tr w:rsidR="00D427EA" w14:paraId="6F953C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E5F8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3BE8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1C81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6F6C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5D58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DA6C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27EA" w14:paraId="0A5D47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80FE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7AD9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A95E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58CE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BF09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95C7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27EA" w14:paraId="232109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726C8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78D6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7FAC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CD97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FB25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AE85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427EA" w14:paraId="0DA11B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1C706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ED038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D1D6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E87B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A067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283.785,23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80FC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8B76C7D" w14:textId="77777777" w:rsidR="00D427EA" w:rsidRDefault="00D427EA">
      <w:pPr>
        <w:spacing w:after="0"/>
      </w:pPr>
    </w:p>
    <w:p w14:paraId="2FC9EAE0" w14:textId="77777777" w:rsidR="00D427EA" w:rsidRDefault="00835DF3">
      <w:r>
        <w:t xml:space="preserve">U razdoblju od 1.siječnja do 31.prosinca 2025. prihodi poslovanja ostvareni su u iznosu od 3.337.340,21 eura. Prihodi poslovanja ostvareni su od MZOM, općine </w:t>
      </w:r>
      <w:proofErr w:type="spellStart"/>
      <w:r>
        <w:t>Tounj</w:t>
      </w:r>
      <w:proofErr w:type="spellEnd"/>
      <w:r>
        <w:t xml:space="preserve"> i osnivača Karlovačke županije.  Rashodi poslovanja u razdoblju od 1. siječnja do 31.prosinca 2025. godine ostvareni su u iznosu od 3.226.722,29 eura. Većina rashoda odnosi se na plaću zaposlenih te na rashode za usluge, na materijalne rashode i rashode za nabavu nefinancijske imovine.  U navedenom razdoblju, preneseni višak prihoda poslovanja od 136.775,24 eura, </w:t>
      </w:r>
      <w:r>
        <w:lastRenderedPageBreak/>
        <w:t xml:space="preserve">preklopio se sa nastalim manjkom od 283.785,23 eura , te ukupni manjak prihoda na kraju izvještajnog razdoblja iznosi 147.009,99 eura (koji </w:t>
      </w:r>
      <w:r>
        <w:t>se odnosi na dospjele a neplaćene obveze: plaće djelatnika za 12/2025 u iznosu od 198.369,91 eura, materijalna prava za 12/2025 u iznosu od 1.138,27 eura, prehrana za prosinac u iznosu od 9.914,66 eura, obveze za materijalne rashode i obveze za povrat u proračun koje refundira HZZO  u iznosu od 1.323,96 eura) .</w:t>
      </w:r>
    </w:p>
    <w:p w14:paraId="704469C4" w14:textId="77777777" w:rsidR="00D427EA" w:rsidRDefault="00835DF3">
      <w:r>
        <w:t> </w:t>
      </w:r>
    </w:p>
    <w:p w14:paraId="0B9A6E9B" w14:textId="77777777" w:rsidR="00D427EA" w:rsidRDefault="00835DF3">
      <w:r>
        <w:br/>
      </w:r>
    </w:p>
    <w:p w14:paraId="3E91E11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F1F6A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4EC5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BE6A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B6F4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9BB6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6735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3E18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972EB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3900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8E4D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0ABF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290C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2.826.080,95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8FEE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2.959.356,86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7D13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14:paraId="38C24FC4" w14:textId="77777777" w:rsidR="00D427EA" w:rsidRDefault="00D427EA">
      <w:pPr>
        <w:spacing w:after="0"/>
      </w:pPr>
    </w:p>
    <w:p w14:paraId="117AF51D" w14:textId="77777777" w:rsidR="00D427EA" w:rsidRDefault="00835DF3">
      <w:r>
        <w:t>Povećanje u odnosu na prošlu godinu zbog povećanja osnovice plaća</w:t>
      </w:r>
    </w:p>
    <w:p w14:paraId="351A0405" w14:textId="77777777" w:rsidR="00D427EA" w:rsidRDefault="00D427EA"/>
    <w:p w14:paraId="42190D4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5E6C3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F585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D3C5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02ED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2D80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5AB0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E1CE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D4A3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99E1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2C15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F9FB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EEE0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213.610,82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F0F8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324.229,77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3D83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151,8</w:t>
            </w:r>
          </w:p>
        </w:tc>
      </w:tr>
    </w:tbl>
    <w:p w14:paraId="6225821C" w14:textId="77777777" w:rsidR="00D427EA" w:rsidRDefault="00D427EA">
      <w:pPr>
        <w:spacing w:after="0"/>
      </w:pPr>
    </w:p>
    <w:p w14:paraId="53FD4C61" w14:textId="77777777" w:rsidR="00D427EA" w:rsidRDefault="00835DF3">
      <w:r>
        <w:t>Kapitalne pomoći za obnovu škola u sklopu CDŠ-a, pomoći za nabavku knjiga i lektire</w:t>
      </w:r>
    </w:p>
    <w:p w14:paraId="376807C5" w14:textId="77777777" w:rsidR="00D427EA" w:rsidRDefault="00D427EA"/>
    <w:p w14:paraId="2CFEE4F0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2B6EFC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92E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D2E8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E30D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41BA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6431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9AC9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43210E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3B1D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B29C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E7D8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178E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83B3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48C2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6640CFFE" w14:textId="77777777" w:rsidR="00D427EA" w:rsidRDefault="00D427EA">
      <w:pPr>
        <w:spacing w:after="0"/>
      </w:pPr>
    </w:p>
    <w:p w14:paraId="5F782C19" w14:textId="77777777" w:rsidR="00D427EA" w:rsidRDefault="00835DF3">
      <w:r>
        <w:t>Vlastiti prihod ostvaruje se od najma sportske školske dvorane fizičkim osobama, cijena najma veća nego prethodne godine, te najam stana</w:t>
      </w:r>
    </w:p>
    <w:p w14:paraId="20409958" w14:textId="77777777" w:rsidR="00D427EA" w:rsidRDefault="00D427EA"/>
    <w:p w14:paraId="69478BC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5B76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A1DB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3002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A7A3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F6EE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EE62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0CD7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F8EF8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33A2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B4A3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A8AC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ABE9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277.380,65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FBAC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351.715,72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DE03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7AD82125" w14:textId="77777777" w:rsidR="00D427EA" w:rsidRDefault="00D427EA">
      <w:pPr>
        <w:spacing w:after="0"/>
      </w:pPr>
    </w:p>
    <w:p w14:paraId="507C88B8" w14:textId="77777777" w:rsidR="00D427EA" w:rsidRDefault="00835DF3">
      <w:r>
        <w:t>Veći troškovi za plaću pomoćnika u nastavi zbog povećanja satnice te ostale isplate putem riznice</w:t>
      </w:r>
    </w:p>
    <w:p w14:paraId="5495D37C" w14:textId="77777777" w:rsidR="00D427EA" w:rsidRDefault="00835DF3">
      <w:r>
        <w:t>Plaćanje putem riznice za lektiru ( 562,64 , upravnu pristojbu u postupku izmjena i dopuna građevinske dozvole za sportsku dvoranu u Oštarijama ( 537,06 ), izrada idejnog projekta i troškovnika za izgradnju jednodijelne školske sportske dvorane u Oštarijama ( 32.375,00 ), revizija projekta za dvoranu u Oštarijama ( 1.750,00 ), elektroenergetska suglasnost  za priključenje - dvorana Oštarije ( 8.399,07 ), licenca za engleski u iznosu od 237,69 eura te iznos od 455,00 eura za trošak procjene nekretnine, rekon</w:t>
      </w:r>
      <w:r>
        <w:t xml:space="preserve">strukcija dvorane u PŠ </w:t>
      </w:r>
      <w:proofErr w:type="spellStart"/>
      <w:r>
        <w:t>Tounj</w:t>
      </w:r>
      <w:proofErr w:type="spellEnd"/>
      <w:r>
        <w:t xml:space="preserve"> u iznosu od 60.193,14eura</w:t>
      </w:r>
    </w:p>
    <w:p w14:paraId="12DF1151" w14:textId="77777777" w:rsidR="00D427EA" w:rsidRDefault="00D427EA"/>
    <w:p w14:paraId="12A81F0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1974E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B17C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BE4A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0308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1FAD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1D1F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1D1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6E67E4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C138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5889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505C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C959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277.380,65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38EF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351.715,72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0235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22AB139C" w14:textId="77777777" w:rsidR="00D427EA" w:rsidRDefault="00D427EA">
      <w:pPr>
        <w:spacing w:after="0"/>
      </w:pPr>
    </w:p>
    <w:p w14:paraId="181C0471" w14:textId="77777777" w:rsidR="00D427EA" w:rsidRDefault="00835DF3">
      <w:r>
        <w:t>Veći troškovi za plaću pomoćnika u nastavi zbog povećanja satnice te ostale isplate putem riznice</w:t>
      </w:r>
    </w:p>
    <w:p w14:paraId="05E32272" w14:textId="77777777" w:rsidR="00D427EA" w:rsidRDefault="00835DF3">
      <w:r>
        <w:t>Plaćanje putem riznice za lektiru ( 562,64 , upravnu pristojbu u postupku izmjena i dopuna građevinske dozvole za sportsku dvoranu u Oštarijama ( 537,06 ), izrada idejnog projekta i troškovnika za izgradnju jednodijelne školske sportske dvorane u Oštarijama ( 32.375,00 ), revizija projekta za dvoranu u Oštarijama ( 1.750,00 ), elektroenergetska suglasnost  za priključenje - dvorana Oštarije ( 8.399,07 ), licenca za engleski u iznosu od 237,69 eura te iznos od 455,00 eura za trošak procjene nekretnine, rekon</w:t>
      </w:r>
      <w:r>
        <w:t xml:space="preserve">strukcija dvorane u PŠ </w:t>
      </w:r>
      <w:proofErr w:type="spellStart"/>
      <w:r>
        <w:t>Tounj</w:t>
      </w:r>
      <w:proofErr w:type="spellEnd"/>
      <w:r>
        <w:t xml:space="preserve"> u iznosu od 60.193,14eura</w:t>
      </w:r>
    </w:p>
    <w:p w14:paraId="75AD1626" w14:textId="77777777" w:rsidR="00D427EA" w:rsidRDefault="00D427EA"/>
    <w:p w14:paraId="0C37AC7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4F45C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0F47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FC79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8821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443F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1164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F914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9F03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C5F1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83B8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FE1B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3DEA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243.929,36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0D81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247.206,12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E27F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14:paraId="0EA7141A" w14:textId="77777777" w:rsidR="00D427EA" w:rsidRDefault="00D427EA">
      <w:pPr>
        <w:spacing w:after="0"/>
      </w:pPr>
    </w:p>
    <w:p w14:paraId="3ABAE9CF" w14:textId="77777777" w:rsidR="00D427EA" w:rsidRDefault="00835DF3">
      <w:r>
        <w:lastRenderedPageBreak/>
        <w:t>Veći troškovi za plaću pomoćnika u nastavi zbog povećanja satnice te ostale isplate putem riznice</w:t>
      </w:r>
    </w:p>
    <w:p w14:paraId="2FA8852A" w14:textId="77777777" w:rsidR="00D427EA" w:rsidRDefault="00D427EA"/>
    <w:p w14:paraId="6F09635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2159B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5CF1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652D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4BF6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F75D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94F8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D3A1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7B52D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BB8B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9280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18A8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D46A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33.451,29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C18B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104.509,60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CBFC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312,4</w:t>
            </w:r>
          </w:p>
        </w:tc>
      </w:tr>
    </w:tbl>
    <w:p w14:paraId="6C9D628D" w14:textId="77777777" w:rsidR="00D427EA" w:rsidRDefault="00D427EA">
      <w:pPr>
        <w:spacing w:after="0"/>
      </w:pPr>
    </w:p>
    <w:p w14:paraId="6CDAA9E4" w14:textId="77777777" w:rsidR="00D427EA" w:rsidRDefault="00835DF3">
      <w:r>
        <w:t>Plaćanje putem riznice za lektiru ( 562,64 , upravnu pristojbu u postupku izmjena i dopuna građevinske dozvole za sportsku dvoranu u Oštarijama ( 537,06 ), izrada idejnog projekta i troškovnika za izgradnju jednodijelne školske sportske dvorane u Oštarijama ( 32.375,00 ), revizija projekta za dvoranu u Oštarijama ( 1.750,00 ), elektroenergetska suglasnost  za priključenje - dvorana Oštarije ( 8.399,07 ), licenca za engleski u iznosu od 237,69 eura te iznos od 455,00 eura za trošak procjene nekretnine, rekon</w:t>
      </w:r>
      <w:r>
        <w:t xml:space="preserve">strukcija dvorane u PŠ </w:t>
      </w:r>
      <w:proofErr w:type="spellStart"/>
      <w:r>
        <w:t>Tounj</w:t>
      </w:r>
      <w:proofErr w:type="spellEnd"/>
      <w:r>
        <w:t xml:space="preserve"> u iznosu od 60.193,14eura</w:t>
      </w:r>
    </w:p>
    <w:p w14:paraId="1BB4749C" w14:textId="77777777" w:rsidR="00D427EA" w:rsidRDefault="00D427EA"/>
    <w:p w14:paraId="74EA43FC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5273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F070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E0B6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9846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85C0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F236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DFC5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D4040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3F86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C825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1536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9130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2.184.627,11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C868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2.627.659,25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1DAB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24FFD36C" w14:textId="77777777" w:rsidR="00D427EA" w:rsidRDefault="00D427EA">
      <w:pPr>
        <w:spacing w:after="0"/>
      </w:pPr>
    </w:p>
    <w:p w14:paraId="055EA463" w14:textId="77777777" w:rsidR="00D427EA" w:rsidRDefault="00835DF3">
      <w:r>
        <w:t>Na porast troškova za isplatu plaća je utjecalo povećanje osnovice za isplatu plaće.</w:t>
      </w:r>
    </w:p>
    <w:p w14:paraId="1AD52EC0" w14:textId="77777777" w:rsidR="00D427EA" w:rsidRDefault="00D427EA"/>
    <w:p w14:paraId="7F6F4BD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CA6D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DA45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675A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C254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E71E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385D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2D01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1DF1E5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F919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0B1C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034F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CF19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D5CD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E766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14:paraId="63FB586B" w14:textId="77777777" w:rsidR="00D427EA" w:rsidRDefault="00D427EA">
      <w:pPr>
        <w:spacing w:after="0"/>
      </w:pPr>
    </w:p>
    <w:p w14:paraId="3C7BE833" w14:textId="77777777" w:rsidR="00D427EA" w:rsidRDefault="00835DF3">
      <w:r>
        <w:t>Troškovi službenih putovanja su već zbog sudjelovanja djelatnika na seminarima u sklopu CDŠ-a.</w:t>
      </w:r>
    </w:p>
    <w:p w14:paraId="7887B282" w14:textId="77777777" w:rsidR="00D427EA" w:rsidRDefault="00D427EA"/>
    <w:p w14:paraId="08D8181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6699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115B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B659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48C8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0B00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DB5D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6B77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7DAF4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B6D6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0F4C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ACFD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4D76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96CE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3C0D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75E34D0F" w14:textId="77777777" w:rsidR="00D427EA" w:rsidRDefault="00D427EA">
      <w:pPr>
        <w:spacing w:after="0"/>
      </w:pPr>
    </w:p>
    <w:p w14:paraId="2C1021E0" w14:textId="77777777" w:rsidR="00D427EA" w:rsidRDefault="00835DF3">
      <w:r>
        <w:t>Povećanje odlaska na seminare i veće kotizacije za navedeno.</w:t>
      </w:r>
    </w:p>
    <w:p w14:paraId="01F057BC" w14:textId="77777777" w:rsidR="00D427EA" w:rsidRDefault="00D427EA"/>
    <w:p w14:paraId="7C62741A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51677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CFB1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A671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0E7B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650F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BF1E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B5E1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4B314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D965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E206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F3A6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194A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31.548,00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1C7A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33.286,51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62A5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75157629" w14:textId="77777777" w:rsidR="00D427EA" w:rsidRDefault="00D427EA">
      <w:pPr>
        <w:spacing w:after="0"/>
      </w:pPr>
    </w:p>
    <w:p w14:paraId="5363069E" w14:textId="77777777" w:rsidR="00D427EA" w:rsidRDefault="00835DF3">
      <w:r>
        <w:t>Veće cijene energenata u odnosu na prošlu godinu, veće cijene lož ulja i električne energije</w:t>
      </w:r>
    </w:p>
    <w:p w14:paraId="1901C1D4" w14:textId="77777777" w:rsidR="00D427EA" w:rsidRDefault="00D427EA"/>
    <w:p w14:paraId="7375A11A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81F7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2606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90FE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5065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1F3A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D2DA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D2D4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2BD4E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441C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FBDA1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A6EB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5109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AECC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9E89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187,2</w:t>
            </w:r>
          </w:p>
        </w:tc>
      </w:tr>
    </w:tbl>
    <w:p w14:paraId="236B67AA" w14:textId="77777777" w:rsidR="00D427EA" w:rsidRDefault="00D427EA">
      <w:pPr>
        <w:spacing w:after="0"/>
      </w:pPr>
    </w:p>
    <w:p w14:paraId="6A749B27" w14:textId="77777777" w:rsidR="00D427EA" w:rsidRDefault="00835DF3">
      <w:r>
        <w:t xml:space="preserve">Veći iznos materijala za TIO kako bismo smanjili usluge, kupljen je materijal , a domari su sami </w:t>
      </w:r>
      <w:proofErr w:type="spellStart"/>
      <w:r>
        <w:t>izgletali</w:t>
      </w:r>
      <w:proofErr w:type="spellEnd"/>
      <w:r>
        <w:t>, poravnali zidove, složili binu</w:t>
      </w:r>
    </w:p>
    <w:p w14:paraId="1671226E" w14:textId="77777777" w:rsidR="00D427EA" w:rsidRDefault="00D427EA"/>
    <w:p w14:paraId="0D4281B9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D835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74CA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58B1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525E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BEC2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E865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4245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D1FB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FA89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E2FBA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DE16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C35A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247.861,06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34BB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252.130,32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BA11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14:paraId="14A4D54D" w14:textId="77777777" w:rsidR="00D427EA" w:rsidRDefault="00D427EA">
      <w:pPr>
        <w:spacing w:after="0"/>
      </w:pPr>
    </w:p>
    <w:p w14:paraId="12979C94" w14:textId="77777777" w:rsidR="00D427EA" w:rsidRDefault="00835DF3">
      <w:r>
        <w:t>Veće cijene prijevoza učenika u odnosu na prošlu godinu</w:t>
      </w:r>
    </w:p>
    <w:p w14:paraId="5D5E96AE" w14:textId="77777777" w:rsidR="00D427EA" w:rsidRDefault="00D427EA"/>
    <w:p w14:paraId="10C784E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B415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256C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7E75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390C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72DB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0A6A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56BB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32F7E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2771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3F8ED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78DA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1CDF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7E44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26.027,54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C9C2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165,4</w:t>
            </w:r>
          </w:p>
        </w:tc>
      </w:tr>
    </w:tbl>
    <w:p w14:paraId="601E6BE2" w14:textId="77777777" w:rsidR="00D427EA" w:rsidRDefault="00D427EA">
      <w:pPr>
        <w:spacing w:after="0"/>
      </w:pPr>
    </w:p>
    <w:p w14:paraId="0A1D98AB" w14:textId="77777777" w:rsidR="00D427EA" w:rsidRDefault="00835DF3">
      <w:r>
        <w:t xml:space="preserve">Popravci pumpi na pećima pri sve tri škole,  demontaža starih </w:t>
      </w:r>
      <w:proofErr w:type="spellStart"/>
      <w:r>
        <w:t>vratiju</w:t>
      </w:r>
      <w:proofErr w:type="spellEnd"/>
      <w:r>
        <w:t>, sporazum o doznaci sredstava za adaptaciju i opremanje dječjeg vrtića "</w:t>
      </w:r>
      <w:proofErr w:type="spellStart"/>
      <w:r>
        <w:t>Tounjska</w:t>
      </w:r>
      <w:proofErr w:type="spellEnd"/>
      <w:r>
        <w:t xml:space="preserve"> spužvica" i uređenje PŠ Lucije, servis kombi vozila, servis vatrogasnih aparata, servis uljnog plamenika na peći, instalacijske </w:t>
      </w:r>
      <w:proofErr w:type="spellStart"/>
      <w:r>
        <w:t>usluke</w:t>
      </w:r>
      <w:proofErr w:type="spellEnd"/>
      <w:r>
        <w:t xml:space="preserve">, zavarivanje oduška na rezervoaru za lož ulje na peći pri PŠ Oštarije, energetski certifikat za PŠ </w:t>
      </w:r>
      <w:proofErr w:type="spellStart"/>
      <w:r>
        <w:t>Skradnik</w:t>
      </w:r>
      <w:proofErr w:type="spellEnd"/>
    </w:p>
    <w:p w14:paraId="2C768A40" w14:textId="77777777" w:rsidR="00D427EA" w:rsidRDefault="00D427EA"/>
    <w:p w14:paraId="5AA28095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30A7F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BAAF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AD9F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7B0F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CD95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A776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3AF5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892C7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1F5D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0857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D93C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A254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62B8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FCB9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222,1</w:t>
            </w:r>
          </w:p>
        </w:tc>
      </w:tr>
    </w:tbl>
    <w:p w14:paraId="22063E23" w14:textId="77777777" w:rsidR="00D427EA" w:rsidRDefault="00D427EA">
      <w:pPr>
        <w:spacing w:after="0"/>
      </w:pPr>
    </w:p>
    <w:p w14:paraId="648A8454" w14:textId="77777777" w:rsidR="00D427EA" w:rsidRDefault="00835DF3">
      <w:r>
        <w:t>Provedeno je više postupaka putem elektroničkog oglasnika javne nabave</w:t>
      </w:r>
    </w:p>
    <w:p w14:paraId="31036C86" w14:textId="77777777" w:rsidR="00D427EA" w:rsidRDefault="00835DF3">
      <w:r>
        <w:t> </w:t>
      </w:r>
    </w:p>
    <w:p w14:paraId="6B671AA2" w14:textId="77777777" w:rsidR="00D427EA" w:rsidRDefault="00D427EA"/>
    <w:p w14:paraId="6D759D6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7AAB3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46FA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B4D0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6E1B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DA04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A1D6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7DEC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13F9E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2D4F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17D6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562B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8CF1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10.886,00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D593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11.661,99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4146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14:paraId="00B5D0B9" w14:textId="77777777" w:rsidR="00D427EA" w:rsidRDefault="00D427EA">
      <w:pPr>
        <w:spacing w:after="0"/>
      </w:pPr>
    </w:p>
    <w:p w14:paraId="5A150633" w14:textId="77777777" w:rsidR="00D427EA" w:rsidRDefault="00835DF3">
      <w:r>
        <w:t xml:space="preserve">Veće cijene komunalnih usluga pri PŠ </w:t>
      </w:r>
      <w:proofErr w:type="spellStart"/>
      <w:r>
        <w:t>Tounj</w:t>
      </w:r>
      <w:proofErr w:type="spellEnd"/>
      <w:r>
        <w:t>, veće cijene naknade za uređenje voda  kod ostalih škola</w:t>
      </w:r>
    </w:p>
    <w:p w14:paraId="739BB251" w14:textId="77777777" w:rsidR="00D427EA" w:rsidRDefault="00D427EA"/>
    <w:p w14:paraId="3714D293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2A4BC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F22B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309F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11F0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FCCC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F863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C03D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2741E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EC19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4DF8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FD73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05A6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82FC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CC3E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205,6</w:t>
            </w:r>
          </w:p>
        </w:tc>
      </w:tr>
    </w:tbl>
    <w:p w14:paraId="2BC8CD2D" w14:textId="77777777" w:rsidR="00D427EA" w:rsidRDefault="00D427EA">
      <w:pPr>
        <w:spacing w:after="0"/>
      </w:pPr>
    </w:p>
    <w:p w14:paraId="51740F63" w14:textId="77777777" w:rsidR="00D427EA" w:rsidRDefault="00835DF3">
      <w:r>
        <w:t xml:space="preserve">Kupnja dodatne licence </w:t>
      </w:r>
      <w:proofErr w:type="spellStart"/>
      <w:r>
        <w:t>Matific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u sklopu CDŠ-a, evidencija radnih sati</w:t>
      </w:r>
    </w:p>
    <w:p w14:paraId="6C7F3336" w14:textId="77777777" w:rsidR="00D427EA" w:rsidRDefault="00D427EA"/>
    <w:p w14:paraId="66DC8E2F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0D51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78CB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F55E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429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A028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EE76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1354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F86B8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F13A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D2686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B223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D3F3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5.129,13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E547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BD21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14:paraId="4E6BABFE" w14:textId="77777777" w:rsidR="00D427EA" w:rsidRDefault="00D427EA">
      <w:pPr>
        <w:spacing w:after="0"/>
      </w:pPr>
    </w:p>
    <w:p w14:paraId="13B2193A" w14:textId="77777777" w:rsidR="00D427EA" w:rsidRDefault="00835DF3">
      <w:r>
        <w:t xml:space="preserve">Dosadašnjih godina, zdravstvene preglede djelatnika obavljali smo u </w:t>
      </w:r>
      <w:proofErr w:type="spellStart"/>
      <w:r>
        <w:t>dvanajstom</w:t>
      </w:r>
      <w:proofErr w:type="spellEnd"/>
      <w:r>
        <w:t xml:space="preserve"> mjesecu dok smo ove godine to učinili u lipnju</w:t>
      </w:r>
    </w:p>
    <w:p w14:paraId="327E7367" w14:textId="77777777" w:rsidR="00D427EA" w:rsidRDefault="00D427EA"/>
    <w:p w14:paraId="381E0C23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B524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46CC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D4AB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7E1E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19D0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1EE0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596A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6DA433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A55C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8CF9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FAA4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4D71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B562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5121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155,7</w:t>
            </w:r>
          </w:p>
        </w:tc>
      </w:tr>
    </w:tbl>
    <w:p w14:paraId="4F5AACB2" w14:textId="77777777" w:rsidR="00D427EA" w:rsidRDefault="00D427EA">
      <w:pPr>
        <w:spacing w:after="0"/>
      </w:pPr>
    </w:p>
    <w:p w14:paraId="64A007E5" w14:textId="77777777" w:rsidR="00D427EA" w:rsidRDefault="00835DF3">
      <w:r>
        <w:t>Veće cijene održavanja računalnih licenci</w:t>
      </w:r>
    </w:p>
    <w:p w14:paraId="6A5BD739" w14:textId="77777777" w:rsidR="00D427EA" w:rsidRDefault="00D427EA"/>
    <w:p w14:paraId="605C8949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CD8A7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B9E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4D39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5D3B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721F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ED37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2D10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92D4C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DE43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80A2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9AE7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7E01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C43F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85FB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249,8</w:t>
            </w:r>
          </w:p>
        </w:tc>
      </w:tr>
    </w:tbl>
    <w:p w14:paraId="59D1DE88" w14:textId="77777777" w:rsidR="00D427EA" w:rsidRDefault="00D427EA">
      <w:pPr>
        <w:spacing w:after="0"/>
      </w:pPr>
    </w:p>
    <w:p w14:paraId="6352DE3F" w14:textId="77777777" w:rsidR="00D427EA" w:rsidRDefault="00835DF3">
      <w:r>
        <w:t>Ove godine, bili smo domaćinima druženja škola u CDŠ-u</w:t>
      </w:r>
    </w:p>
    <w:p w14:paraId="7D2504BA" w14:textId="77777777" w:rsidR="00D427EA" w:rsidRDefault="00D427EA"/>
    <w:p w14:paraId="10335EB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8058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551C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FC53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EB5F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7816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CEB0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0F00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7DAE7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23F5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54F9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A286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D7A4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97EE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5C88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23EF2241" w14:textId="77777777" w:rsidR="00D427EA" w:rsidRDefault="00D427EA">
      <w:pPr>
        <w:spacing w:after="0"/>
      </w:pPr>
    </w:p>
    <w:p w14:paraId="2801DB46" w14:textId="77777777" w:rsidR="00D427EA" w:rsidRDefault="00835DF3">
      <w:r>
        <w:t>Povećane cijene certifikata za FINU</w:t>
      </w:r>
    </w:p>
    <w:p w14:paraId="6A45E717" w14:textId="77777777" w:rsidR="00D427EA" w:rsidRDefault="00D427EA"/>
    <w:p w14:paraId="16BF5552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345AD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8D6D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7152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4511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AED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BD6A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7CA3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58ABB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1859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F0F3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728D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5951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59.932,27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68CC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3387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14:paraId="5647D7DE" w14:textId="77777777" w:rsidR="00D427EA" w:rsidRDefault="00D427EA">
      <w:pPr>
        <w:spacing w:after="0"/>
      </w:pPr>
    </w:p>
    <w:p w14:paraId="1D314C99" w14:textId="77777777" w:rsidR="00D427EA" w:rsidRDefault="00835DF3">
      <w:r>
        <w:t xml:space="preserve">Sve je više knjiga, </w:t>
      </w:r>
      <w:proofErr w:type="spellStart"/>
      <w:r>
        <w:t>tj.udžbenika</w:t>
      </w:r>
      <w:proofErr w:type="spellEnd"/>
      <w:r>
        <w:t xml:space="preserve"> koji su radnog karaktera, </w:t>
      </w:r>
      <w:proofErr w:type="spellStart"/>
      <w:r>
        <w:t>tj.jednogodišnji</w:t>
      </w:r>
      <w:proofErr w:type="spellEnd"/>
    </w:p>
    <w:p w14:paraId="0754411C" w14:textId="77777777" w:rsidR="00D427EA" w:rsidRDefault="00D427EA"/>
    <w:p w14:paraId="46527323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C594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7E6B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C0FD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89ED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39CD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4B70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F4A7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5CEA1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8EE6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F2D1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21B0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4D56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59.932,27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BD12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3548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14:paraId="5327B820" w14:textId="77777777" w:rsidR="00D427EA" w:rsidRDefault="00D427EA">
      <w:pPr>
        <w:spacing w:after="0"/>
      </w:pPr>
    </w:p>
    <w:p w14:paraId="35CF7D17" w14:textId="77777777" w:rsidR="00D427EA" w:rsidRDefault="00835DF3">
      <w:r>
        <w:t xml:space="preserve">Sve je više knjiga, </w:t>
      </w:r>
      <w:proofErr w:type="spellStart"/>
      <w:r>
        <w:t>tj.udžbenika</w:t>
      </w:r>
      <w:proofErr w:type="spellEnd"/>
      <w:r>
        <w:t xml:space="preserve"> koji su radnog karaktera, </w:t>
      </w:r>
      <w:proofErr w:type="spellStart"/>
      <w:r>
        <w:t>tj.jednogodišnji</w:t>
      </w:r>
      <w:proofErr w:type="spellEnd"/>
    </w:p>
    <w:p w14:paraId="73FEB08C" w14:textId="77777777" w:rsidR="00D427EA" w:rsidRDefault="00D427EA"/>
    <w:p w14:paraId="0CC7D8DC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734B91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15E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0690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31A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2382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1B06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A012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3DAA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DCFF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0C6F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D07E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6236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59.932,27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82BF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C440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14:paraId="16303E74" w14:textId="77777777" w:rsidR="00D427EA" w:rsidRDefault="00D427EA">
      <w:pPr>
        <w:spacing w:after="0"/>
      </w:pPr>
    </w:p>
    <w:p w14:paraId="53D8B637" w14:textId="77777777" w:rsidR="00D427EA" w:rsidRDefault="00835DF3">
      <w:r>
        <w:t xml:space="preserve">Sve je više </w:t>
      </w:r>
      <w:proofErr w:type="spellStart"/>
      <w:r>
        <w:t>knjiga,tj.udžbenika</w:t>
      </w:r>
      <w:proofErr w:type="spellEnd"/>
      <w:r>
        <w:t xml:space="preserve"> koji su radnog karaktera, </w:t>
      </w:r>
      <w:proofErr w:type="spellStart"/>
      <w:r>
        <w:t>tj.jednogodišnji</w:t>
      </w:r>
      <w:proofErr w:type="spellEnd"/>
    </w:p>
    <w:p w14:paraId="3BD34029" w14:textId="77777777" w:rsidR="00D427EA" w:rsidRDefault="00D427EA"/>
    <w:p w14:paraId="3251391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9ECA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8EDA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294A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ED63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CD15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732B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1A75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EC477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3E30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8720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B807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CFE4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2919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230.970,68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97FB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1321,0</w:t>
            </w:r>
          </w:p>
        </w:tc>
      </w:tr>
    </w:tbl>
    <w:p w14:paraId="122D21BF" w14:textId="77777777" w:rsidR="00D427EA" w:rsidRDefault="00D427EA">
      <w:pPr>
        <w:spacing w:after="0"/>
      </w:pPr>
    </w:p>
    <w:p w14:paraId="687444D9" w14:textId="77777777" w:rsidR="00D427EA" w:rsidRDefault="00835DF3">
      <w:r>
        <w:t>Potraživanja za plaću u iznosu od 198.369,91 eura, potraživanja za prehranu Standard 9.914,66 eura, potraživanja za materijalna prava za prosinac 2025. u iznosu od 1.138,27 eura</w:t>
      </w:r>
    </w:p>
    <w:p w14:paraId="4F8215F8" w14:textId="77777777" w:rsidR="00D427EA" w:rsidRDefault="00D427EA"/>
    <w:p w14:paraId="4C919C7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05D2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C651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FC1E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DC55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90E1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FA1D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0822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DC632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2B79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983A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C843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A31E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9AD5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C639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8E7E74" w14:textId="77777777" w:rsidR="00D427EA" w:rsidRDefault="00D427EA">
      <w:pPr>
        <w:spacing w:after="0"/>
      </w:pPr>
    </w:p>
    <w:p w14:paraId="7095EE32" w14:textId="77777777" w:rsidR="00D427EA" w:rsidRDefault="00835DF3">
      <w:r>
        <w:t xml:space="preserve">Prihod od prodaje škole u </w:t>
      </w:r>
      <w:proofErr w:type="spellStart"/>
      <w:r>
        <w:t>Tržiću</w:t>
      </w:r>
      <w:proofErr w:type="spellEnd"/>
    </w:p>
    <w:p w14:paraId="42DFEDFF" w14:textId="77777777" w:rsidR="00D427EA" w:rsidRDefault="00D427EA"/>
    <w:p w14:paraId="23BA36F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907D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B67B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6A3F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DBF7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7AF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CFE1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D50F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F809F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95DC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ECAD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7B0F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D6D2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1D83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1C99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6DD0DC" w14:textId="77777777" w:rsidR="00D427EA" w:rsidRDefault="00D427EA">
      <w:pPr>
        <w:spacing w:after="0"/>
      </w:pPr>
    </w:p>
    <w:p w14:paraId="03F22BF7" w14:textId="77777777" w:rsidR="00D427EA" w:rsidRDefault="00835DF3">
      <w:r>
        <w:t xml:space="preserve">Prihod od prodaje škole u </w:t>
      </w:r>
      <w:proofErr w:type="spellStart"/>
      <w:r>
        <w:t>Tržiću</w:t>
      </w:r>
      <w:proofErr w:type="spellEnd"/>
    </w:p>
    <w:p w14:paraId="7C8D645D" w14:textId="77777777" w:rsidR="00D427EA" w:rsidRDefault="00D427EA"/>
    <w:p w14:paraId="5750487B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EC4F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98AE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268D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C6D9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5659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737F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B883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10ABBE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3F15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7FA17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2A89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AE94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3E74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CD8F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BE582D" w14:textId="77777777" w:rsidR="00D427EA" w:rsidRDefault="00D427EA">
      <w:pPr>
        <w:spacing w:after="0"/>
      </w:pPr>
    </w:p>
    <w:p w14:paraId="4C4976B6" w14:textId="77777777" w:rsidR="00D427EA" w:rsidRDefault="00835DF3">
      <w:r>
        <w:t xml:space="preserve">Prihod od prodaje škole u </w:t>
      </w:r>
      <w:proofErr w:type="spellStart"/>
      <w:r>
        <w:t>Tržiću</w:t>
      </w:r>
      <w:proofErr w:type="spellEnd"/>
    </w:p>
    <w:p w14:paraId="395BFF15" w14:textId="77777777" w:rsidR="00D427EA" w:rsidRDefault="00D427EA"/>
    <w:p w14:paraId="19558FB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764ED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8079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84C6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8D54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9FF6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89FC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6BBC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797A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D0EB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A76B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859F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F2CC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5609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6CD8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7AE2C5" w14:textId="77777777" w:rsidR="00D427EA" w:rsidRDefault="00D427EA">
      <w:pPr>
        <w:spacing w:after="0"/>
      </w:pPr>
    </w:p>
    <w:p w14:paraId="585A92CE" w14:textId="77777777" w:rsidR="00D427EA" w:rsidRDefault="00835DF3">
      <w:r>
        <w:t xml:space="preserve">Prihod od prodaje škole u </w:t>
      </w:r>
      <w:proofErr w:type="spellStart"/>
      <w:r>
        <w:t>Tržiću</w:t>
      </w:r>
      <w:proofErr w:type="spellEnd"/>
    </w:p>
    <w:p w14:paraId="25BED0C3" w14:textId="77777777" w:rsidR="00D427EA" w:rsidRDefault="00D427EA"/>
    <w:p w14:paraId="245BA035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12FC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DE32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0171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3024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C5D9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EB85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245E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367C1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BE50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5D469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8B03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CB1B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81.766,67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79999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352.392,32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7417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431,0</w:t>
            </w:r>
          </w:p>
        </w:tc>
      </w:tr>
    </w:tbl>
    <w:p w14:paraId="5E79556D" w14:textId="77777777" w:rsidR="00D427EA" w:rsidRDefault="00D427EA">
      <w:pPr>
        <w:spacing w:after="0"/>
      </w:pPr>
    </w:p>
    <w:p w14:paraId="6FCF2590" w14:textId="77777777" w:rsidR="00D427EA" w:rsidRDefault="00835DF3">
      <w:r>
        <w:t xml:space="preserve">Nabavka printera, opreme, kuhinja, kuhinjskih setova, </w:t>
      </w:r>
      <w:proofErr w:type="spellStart"/>
      <w:r>
        <w:t>dvostepene</w:t>
      </w:r>
      <w:proofErr w:type="spellEnd"/>
      <w:r>
        <w:t xml:space="preserve"> bine, trapeznog stola, </w:t>
      </w:r>
      <w:proofErr w:type="spellStart"/>
      <w:r>
        <w:t>uništivača</w:t>
      </w:r>
      <w:proofErr w:type="spellEnd"/>
      <w:r>
        <w:t xml:space="preserve"> papira, edukacijskog seta, interaktivnih ekrana, printera sa </w:t>
      </w:r>
      <w:proofErr w:type="spellStart"/>
      <w:r>
        <w:t>filamentima</w:t>
      </w:r>
      <w:proofErr w:type="spellEnd"/>
      <w:r>
        <w:t xml:space="preserve"> većim dijelom iz B1 aktivnosti CDŠ-a, oprema za kuhinje u sklopu CDŠ-a</w:t>
      </w:r>
    </w:p>
    <w:p w14:paraId="78E105E3" w14:textId="77777777" w:rsidR="00D427EA" w:rsidRDefault="00D427EA"/>
    <w:p w14:paraId="6BABC9FA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74661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0670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DE82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F6A1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508D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0BA7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ED82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C82CC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FD19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F829C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8942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8B7F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32.884,29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58A9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43.516,13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2AE3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30DBC90C" w14:textId="77777777" w:rsidR="00D427EA" w:rsidRDefault="00D427EA">
      <w:pPr>
        <w:spacing w:after="0"/>
      </w:pPr>
    </w:p>
    <w:p w14:paraId="7ABCAA85" w14:textId="77777777" w:rsidR="00D427EA" w:rsidRDefault="00835DF3">
      <w:r>
        <w:t>Revizija projekta dvorane u Oštarijama ( 1.750,00eura ), elektroenergetska suglasnost i priključenje - dvorana Oštarije ( 8.399,07 eura ), upravna pristojba u postupku izmjena i dopuna građevinske dozvole - dvorana Oštarije ( 537,06 eura ), izrada idejnog projekta i troškovnika za izgradnju jednodijelne školske sportske dvorane u Oštarijama ( 32.375,00 eura ), trošak procjene nekretnine u Oštarijama ( 455,00 eura ).</w:t>
      </w:r>
    </w:p>
    <w:p w14:paraId="32E6B65D" w14:textId="77777777" w:rsidR="00D427EA" w:rsidRDefault="00D427EA"/>
    <w:p w14:paraId="57EEE5FA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B2ED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979A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C6FE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DDD4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E5D3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A9C7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21FE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77DA2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FF6C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B17A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5F4B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B0FE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32.884,29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D6E3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43.516,13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A7D1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19DFB065" w14:textId="77777777" w:rsidR="00D427EA" w:rsidRDefault="00D427EA">
      <w:pPr>
        <w:spacing w:after="0"/>
      </w:pPr>
    </w:p>
    <w:p w14:paraId="357ECDD0" w14:textId="77777777" w:rsidR="00D427EA" w:rsidRDefault="00835DF3">
      <w:r>
        <w:t>Revizija projekta dvorane u Oštarijama ( 1.750,00eura ), elektroenergetska suglasnost i priključenje - dvorana Oštarije ( 8.399,07 eura ), upravna pristojba u postupku izmjena i dopuna građevinske dozvole - dvorana Oštarije ( 537,06 eura ), izrada idejnog projekta i troškovnika za izgradnju jednodijelne školske sportske dvorane u Oštarijama ( 32.375,00 eura ), trošak procjene nekretnine u Oštarijama ( 455,00 eura ).</w:t>
      </w:r>
    </w:p>
    <w:p w14:paraId="5CAA641A" w14:textId="77777777" w:rsidR="00D427EA" w:rsidRDefault="00D427EA"/>
    <w:p w14:paraId="0FCF147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1A18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1A72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5347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9A74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2E23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C9A2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31CB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CEBCD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72A4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EB64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45D4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B894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39.854,36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E638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295.366,69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CF9E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741,1</w:t>
            </w:r>
          </w:p>
        </w:tc>
      </w:tr>
    </w:tbl>
    <w:p w14:paraId="5D465581" w14:textId="77777777" w:rsidR="00D427EA" w:rsidRDefault="00D427EA">
      <w:pPr>
        <w:spacing w:after="0"/>
      </w:pPr>
    </w:p>
    <w:p w14:paraId="6E4B201C" w14:textId="77777777" w:rsidR="00D427EA" w:rsidRDefault="00835DF3">
      <w:r>
        <w:t>Nabavka opreme i oprema škola u sklopu CDŠ-a, opremanje kuhinja u sklopu CDŠ-a</w:t>
      </w:r>
    </w:p>
    <w:p w14:paraId="531BC1BD" w14:textId="77777777" w:rsidR="00D427EA" w:rsidRDefault="00D427EA"/>
    <w:p w14:paraId="6AE45B54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831E2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0A66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C345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13B5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F0A0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0345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3BA6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E1BC6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AF20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328B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F2C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AAC6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4219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10.182,36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A611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501,4</w:t>
            </w:r>
          </w:p>
        </w:tc>
      </w:tr>
    </w:tbl>
    <w:p w14:paraId="0A9A6B0D" w14:textId="77777777" w:rsidR="00D427EA" w:rsidRDefault="00D427EA">
      <w:pPr>
        <w:spacing w:after="0"/>
      </w:pPr>
    </w:p>
    <w:p w14:paraId="610989B1" w14:textId="77777777" w:rsidR="00D427EA" w:rsidRDefault="00835DF3">
      <w:r>
        <w:t>Nabavka dvosjeda i trosjeda, ormarića, stolića i taburea u sklopu B1 aktivnosti CDŠ-a te ormara za kemikalije</w:t>
      </w:r>
    </w:p>
    <w:p w14:paraId="45F43F71" w14:textId="77777777" w:rsidR="00D427EA" w:rsidRDefault="00D427EA"/>
    <w:p w14:paraId="46329A5B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8CF9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879C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40C7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F679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6837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F5EF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B6D5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638D81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B321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EBBC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5DBE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2831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ADBB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275.180,74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D0D8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1280,0</w:t>
            </w:r>
          </w:p>
        </w:tc>
      </w:tr>
    </w:tbl>
    <w:p w14:paraId="46B032A6" w14:textId="77777777" w:rsidR="00D427EA" w:rsidRDefault="00D427EA">
      <w:pPr>
        <w:spacing w:after="0"/>
      </w:pPr>
    </w:p>
    <w:p w14:paraId="7093F320" w14:textId="77777777" w:rsidR="00D427EA" w:rsidRDefault="00835DF3">
      <w:r>
        <w:t xml:space="preserve">Nabavka printera, opreme, kuhinja, kuhinjskih setova, </w:t>
      </w:r>
      <w:proofErr w:type="spellStart"/>
      <w:r>
        <w:t>dvostepene</w:t>
      </w:r>
      <w:proofErr w:type="spellEnd"/>
      <w:r>
        <w:t xml:space="preserve"> bine, trapeznog stola, </w:t>
      </w:r>
      <w:proofErr w:type="spellStart"/>
      <w:r>
        <w:t>uništivača</w:t>
      </w:r>
      <w:proofErr w:type="spellEnd"/>
      <w:r>
        <w:t xml:space="preserve"> papira, edukacijskog seta, interaktivnih ekrana, printera sa </w:t>
      </w:r>
      <w:proofErr w:type="spellStart"/>
      <w:r>
        <w:t>filamentima</w:t>
      </w:r>
      <w:proofErr w:type="spellEnd"/>
      <w:r>
        <w:t xml:space="preserve"> većim dijelom iz B1 aktivnosti CDŠ-a te kopirke, interaktivnog ekrana, opreme za kuhinju</w:t>
      </w:r>
    </w:p>
    <w:p w14:paraId="76E3173F" w14:textId="77777777" w:rsidR="00D427EA" w:rsidRDefault="00D427EA"/>
    <w:p w14:paraId="00FFB93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2DCF1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100B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4695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AB26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A29C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1786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501B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14FA4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E3E5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AD9B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E0A6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3017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9.028,02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C147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9D1B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14:paraId="57709EA9" w14:textId="77777777" w:rsidR="00D427EA" w:rsidRDefault="00D427EA">
      <w:pPr>
        <w:spacing w:after="0"/>
      </w:pPr>
    </w:p>
    <w:p w14:paraId="1683A0B9" w14:textId="77777777" w:rsidR="00D427EA" w:rsidRDefault="00835DF3">
      <w:r>
        <w:t>Povećanje narudžbi za knjige zbog dobivenih sredstava od CDŠ-a i ministarstva za lektire te većeg broja naručenih udžbenika</w:t>
      </w:r>
    </w:p>
    <w:p w14:paraId="52B99F30" w14:textId="77777777" w:rsidR="00D427EA" w:rsidRDefault="00D427EA"/>
    <w:p w14:paraId="361CE74E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EE89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2604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4151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A5EB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044E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05B7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290C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1460AD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7378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AFC2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76B0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1109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9.028,02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5EA5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BC6A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14:paraId="5BE2DC51" w14:textId="77777777" w:rsidR="00D427EA" w:rsidRDefault="00D427EA">
      <w:pPr>
        <w:spacing w:after="0"/>
      </w:pPr>
    </w:p>
    <w:p w14:paraId="292B037E" w14:textId="77777777" w:rsidR="00D427EA" w:rsidRDefault="00835DF3">
      <w:r>
        <w:t>Povećanje narudžbi za knjige zbog dobivenih sredstava od CDŠ-a i ministarstva za lektire te većeg broja naručenih udžbenika</w:t>
      </w:r>
    </w:p>
    <w:p w14:paraId="7231BA1C" w14:textId="77777777" w:rsidR="00D427EA" w:rsidRDefault="00D427EA"/>
    <w:p w14:paraId="78BDACFE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297B2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290F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06E4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49BF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0800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CDEA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61FB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4FE0A8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0A11A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155B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1028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9BFD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2798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283.785,23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DB7C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B1358C" w14:textId="77777777" w:rsidR="00D427EA" w:rsidRDefault="00D427EA">
      <w:pPr>
        <w:spacing w:after="0"/>
      </w:pPr>
    </w:p>
    <w:p w14:paraId="416023A3" w14:textId="77777777" w:rsidR="00D427EA" w:rsidRDefault="00835DF3">
      <w:r>
        <w:t xml:space="preserve">Manjak prihoda poslovanja čine potraživanja od MZOM za obračunatu plaću 12/2025, obračunata materijalna prava 12/2025, potraživanja za prehranu Standard, pristigli računi za prosinac, potraživanja od privatnih osoba za vrtić </w:t>
      </w:r>
      <w:proofErr w:type="spellStart"/>
      <w:r>
        <w:t>Tounjska</w:t>
      </w:r>
      <w:proofErr w:type="spellEnd"/>
      <w:r>
        <w:t xml:space="preserve"> spužvica, potraživanja od djelatnika za školsku kuhinju</w:t>
      </w:r>
    </w:p>
    <w:p w14:paraId="2043EDB9" w14:textId="77777777" w:rsidR="00D427EA" w:rsidRDefault="00D427EA"/>
    <w:p w14:paraId="69038CF3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CEBAB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32FB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9D5A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6F3B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F765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C95F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1155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39C2A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791D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3FD3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6F63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0426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0E3A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234.628,28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B57C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1109,7</w:t>
            </w:r>
          </w:p>
        </w:tc>
      </w:tr>
    </w:tbl>
    <w:p w14:paraId="7C8DBDE1" w14:textId="77777777" w:rsidR="00D427EA" w:rsidRDefault="00D427EA">
      <w:pPr>
        <w:spacing w:after="0"/>
      </w:pPr>
    </w:p>
    <w:p w14:paraId="64BA607D" w14:textId="77777777" w:rsidR="00D427EA" w:rsidRDefault="00835DF3">
      <w:r>
        <w:t xml:space="preserve">Manjak prihoda poslovanja čine potraživanja od MZOM za obračunatu plaću 12/2025, obračunata materijalna prava za 12/2025, potraživanja za prehranu Standard, pristigli računi za prosinac, potraživanja od privatnih osoba za vrtić </w:t>
      </w:r>
      <w:proofErr w:type="spellStart"/>
      <w:r>
        <w:t>Tounjska</w:t>
      </w:r>
      <w:proofErr w:type="spellEnd"/>
      <w:r>
        <w:t xml:space="preserve"> spužvica, potraživanja od djelatnika za školsku kuhinju</w:t>
      </w:r>
    </w:p>
    <w:p w14:paraId="5D149012" w14:textId="77777777" w:rsidR="00D427EA" w:rsidRDefault="00D427EA"/>
    <w:p w14:paraId="78E7FB9F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F06F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CF0F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5AE8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4D5F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25B8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DECE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585B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7FC2E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48A2E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6075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54FE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737F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A0F7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283.785,23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005D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A2A63B" w14:textId="77777777" w:rsidR="00D427EA" w:rsidRDefault="00D427EA">
      <w:pPr>
        <w:spacing w:after="0"/>
      </w:pPr>
    </w:p>
    <w:p w14:paraId="7ACFD981" w14:textId="77777777" w:rsidR="00D427EA" w:rsidRDefault="00835DF3">
      <w:r>
        <w:lastRenderedPageBreak/>
        <w:t xml:space="preserve">Manjak prihoda poslovanja čine potraživanja od MZOM za obračunatu plaću 12/2025, potraživanja za prehranu Standard, pristigli računi za prosinac,  potraživanja od privatnih osoba za vrtić </w:t>
      </w:r>
      <w:proofErr w:type="spellStart"/>
      <w:r>
        <w:t>Tounjska</w:t>
      </w:r>
      <w:proofErr w:type="spellEnd"/>
      <w:r>
        <w:t xml:space="preserve"> spužvica, potraživanja od djelatnika za školsku kuhinju</w:t>
      </w:r>
    </w:p>
    <w:p w14:paraId="12D83349" w14:textId="77777777" w:rsidR="00D427EA" w:rsidRDefault="00D427EA"/>
    <w:p w14:paraId="0B343B7C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06227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AADD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C920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B374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3F70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7D04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D473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37DEE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48C9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276D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5E4D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97BB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80.266,40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C641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136.775,24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79D6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170,4</w:t>
            </w:r>
          </w:p>
        </w:tc>
      </w:tr>
    </w:tbl>
    <w:p w14:paraId="11348BC9" w14:textId="77777777" w:rsidR="00D427EA" w:rsidRDefault="00D427EA">
      <w:pPr>
        <w:spacing w:after="0"/>
      </w:pPr>
    </w:p>
    <w:p w14:paraId="27E35039" w14:textId="77777777" w:rsidR="00D427EA" w:rsidRDefault="00835DF3">
      <w:r>
        <w:t>Višak primitaka dobiven u dvanaestom mjesecu 2024. za troškove B1 i B2 aktivnosti CDŠ-a te od školske kuhinje</w:t>
      </w:r>
    </w:p>
    <w:p w14:paraId="56896902" w14:textId="77777777" w:rsidR="00D427EA" w:rsidRDefault="00D427EA"/>
    <w:p w14:paraId="708E4472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E0336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4B7A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5A33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21A0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DD4E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E25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0C21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19AD2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F1C21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6DE0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17E2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25BF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DECF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147.009,99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987D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8F46D1" w14:textId="77777777" w:rsidR="00D427EA" w:rsidRDefault="00D427EA">
      <w:pPr>
        <w:spacing w:after="0"/>
      </w:pPr>
    </w:p>
    <w:p w14:paraId="4A9C9040" w14:textId="77777777" w:rsidR="00D427EA" w:rsidRDefault="00835DF3">
      <w:r>
        <w:t xml:space="preserve">Manjak prihoda poslovanja čine potraživanja od MZOM za obračunatu plaću 12/2025, potraživanja  za materijalna prava 12/2025 potraživanja za prehranu Standard, pristigli računi za rujan, potraživanja za udžbenike i vježbenice od MZOM za školsku godinu 2025/2026, potraživanja od privatnih osoba za vrtić </w:t>
      </w:r>
      <w:proofErr w:type="spellStart"/>
      <w:r>
        <w:t>Tounjska</w:t>
      </w:r>
      <w:proofErr w:type="spellEnd"/>
      <w:r>
        <w:t xml:space="preserve"> spužvica, potraživanja od djelatnika za školsku kuhinju</w:t>
      </w:r>
    </w:p>
    <w:p w14:paraId="7356B64C" w14:textId="77777777" w:rsidR="00D427EA" w:rsidRDefault="00D427EA"/>
    <w:p w14:paraId="609C73A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3AE8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D92D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69B9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BE24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458E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3FFC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7FE9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57240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6201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2A8D4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B35C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B3B0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141.184,27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57C86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704D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B138536" w14:textId="77777777" w:rsidR="00D427EA" w:rsidRDefault="00D427EA">
      <w:pPr>
        <w:spacing w:after="0"/>
      </w:pPr>
    </w:p>
    <w:p w14:paraId="26EA442E" w14:textId="77777777" w:rsidR="00D427EA" w:rsidRDefault="00835DF3">
      <w:r>
        <w:t>Škola od 01.04.2025. više nema svoj tekući račun</w:t>
      </w:r>
    </w:p>
    <w:p w14:paraId="04467135" w14:textId="77777777" w:rsidR="00D427EA" w:rsidRDefault="00D427EA"/>
    <w:p w14:paraId="1D719F3A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E7C9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6248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4FCB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F6A2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8D93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2453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6ED5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4EA428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29AF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FDB9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6D10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D7F0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2.270.073,37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E79E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2.477.705,14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71DE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14:paraId="0AA70638" w14:textId="77777777" w:rsidR="00D427EA" w:rsidRDefault="00D427EA">
      <w:pPr>
        <w:spacing w:after="0"/>
      </w:pPr>
    </w:p>
    <w:p w14:paraId="44A65614" w14:textId="77777777" w:rsidR="00D427EA" w:rsidRDefault="00835DF3">
      <w:r>
        <w:t xml:space="preserve">Tekuće pomoći državnog proračuna za isplatu plaća , materijalnih prava, prehrane Standard, Dara za djecu, Božićnice, </w:t>
      </w:r>
      <w:proofErr w:type="spellStart"/>
      <w:r>
        <w:t>eTura</w:t>
      </w:r>
      <w:proofErr w:type="spellEnd"/>
      <w:r>
        <w:t>-a, naknade za invalide</w:t>
      </w:r>
    </w:p>
    <w:p w14:paraId="3C411EE6" w14:textId="77777777" w:rsidR="00D427EA" w:rsidRDefault="00D427EA"/>
    <w:p w14:paraId="294B2B0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719C4F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EA4B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15C3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B871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B5B4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949F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6A7B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AE5E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C001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B48A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EABD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274E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209.860,82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A8A3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324.229,77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46B5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154,5</w:t>
            </w:r>
          </w:p>
        </w:tc>
      </w:tr>
    </w:tbl>
    <w:p w14:paraId="60510216" w14:textId="77777777" w:rsidR="00D427EA" w:rsidRDefault="00D427EA">
      <w:pPr>
        <w:spacing w:after="0"/>
      </w:pPr>
    </w:p>
    <w:p w14:paraId="1EC9FDF4" w14:textId="77777777" w:rsidR="00D427EA" w:rsidRDefault="00835DF3">
      <w:r>
        <w:t>Opremanje škola u sklopu CDŠ-a, udžbenici i vježbenice</w:t>
      </w:r>
    </w:p>
    <w:p w14:paraId="46204C10" w14:textId="77777777" w:rsidR="00D427EA" w:rsidRDefault="00D427EA"/>
    <w:p w14:paraId="6012D42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DAAE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1F44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4F0E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BA99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5B22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FCFF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A1C4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47A1E9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DE09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EE3DD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6A53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DE9F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59.932,27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60D5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A7D3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14:paraId="2975100D" w14:textId="77777777" w:rsidR="00D427EA" w:rsidRDefault="00D427EA">
      <w:pPr>
        <w:spacing w:after="0"/>
      </w:pPr>
    </w:p>
    <w:p w14:paraId="0AF59526" w14:textId="77777777" w:rsidR="00D427EA" w:rsidRDefault="00835DF3">
      <w:r>
        <w:t xml:space="preserve">Sve je više knjiga, </w:t>
      </w:r>
      <w:proofErr w:type="spellStart"/>
      <w:r>
        <w:t>tj.udžbenika</w:t>
      </w:r>
      <w:proofErr w:type="spellEnd"/>
      <w:r>
        <w:t xml:space="preserve"> koji su radnog karaktera, </w:t>
      </w:r>
      <w:proofErr w:type="spellStart"/>
      <w:r>
        <w:t>tj.jednogodišnji</w:t>
      </w:r>
      <w:proofErr w:type="spellEnd"/>
    </w:p>
    <w:p w14:paraId="0A677ECB" w14:textId="77777777" w:rsidR="00D427EA" w:rsidRDefault="00D427EA"/>
    <w:p w14:paraId="3F77D6C3" w14:textId="77777777" w:rsidR="00D427EA" w:rsidRDefault="00835DF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376C65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BA1C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3C6B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BC69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E030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695D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EDD0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133E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5C68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0FD4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08C3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FFF8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9FCC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39C1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7D582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</w:tbl>
    <w:p w14:paraId="3BB7D2C1" w14:textId="77777777" w:rsidR="00D427EA" w:rsidRDefault="00D427EA">
      <w:pPr>
        <w:spacing w:after="0"/>
      </w:pPr>
    </w:p>
    <w:p w14:paraId="161D16B3" w14:textId="77777777" w:rsidR="00D427EA" w:rsidRDefault="00835DF3">
      <w:r>
        <w:t>Stanje 31. prosinca manje u odnosu na stanje 01.siječnja zbog ispravka vrijednosti u obujmu imovine po zakonom određenim stopama i manje nabavke knjiga kao knjiga jer ih je većina sada radnog karaktera</w:t>
      </w:r>
    </w:p>
    <w:p w14:paraId="74FC89AC" w14:textId="77777777" w:rsidR="00D427EA" w:rsidRDefault="00D427EA"/>
    <w:p w14:paraId="173A719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CA18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55DB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817F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CD95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BB52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26AD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AB9A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528A6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6D34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144A2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E4BB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C254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41.293,31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F785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49.374,64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8E0E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14:paraId="039AB358" w14:textId="77777777" w:rsidR="00D427EA" w:rsidRDefault="00D427EA">
      <w:pPr>
        <w:spacing w:after="0"/>
      </w:pPr>
    </w:p>
    <w:p w14:paraId="60DEE75F" w14:textId="77777777" w:rsidR="00D427EA" w:rsidRDefault="00835DF3">
      <w:r>
        <w:t>Povećanje u odnosu na početak godine zbog nabave sitnog inventara što iz DEC-a, što od sredstava dobivenih od CDŠ-a</w:t>
      </w:r>
    </w:p>
    <w:p w14:paraId="625F0E63" w14:textId="77777777" w:rsidR="00D427EA" w:rsidRDefault="00D427EA"/>
    <w:p w14:paraId="73B7D4DD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0DF0A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E078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315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4E15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510C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29F2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07F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983C1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BCB8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CB56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8918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2CE3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141.184,27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DF15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07CE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A7AA3C" w14:textId="77777777" w:rsidR="00D427EA" w:rsidRDefault="00D427EA">
      <w:pPr>
        <w:spacing w:after="0"/>
      </w:pPr>
    </w:p>
    <w:p w14:paraId="213A7F7D" w14:textId="77777777" w:rsidR="00D427EA" w:rsidRDefault="00835DF3">
      <w:r>
        <w:t>1.travnja Škola je prešla na objedinjeni račun Riznice Karlovačke županije.</w:t>
      </w:r>
    </w:p>
    <w:p w14:paraId="5C39A105" w14:textId="77777777" w:rsidR="00D427EA" w:rsidRDefault="00D427EA"/>
    <w:p w14:paraId="29E32904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F923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93D0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6B5F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0AE8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5834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9569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CA49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167E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01A7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3257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0F37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9D12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9E81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8837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385,1</w:t>
            </w:r>
          </w:p>
        </w:tc>
      </w:tr>
    </w:tbl>
    <w:p w14:paraId="2A9F301F" w14:textId="77777777" w:rsidR="00D427EA" w:rsidRDefault="00D427EA">
      <w:pPr>
        <w:spacing w:after="0"/>
      </w:pPr>
    </w:p>
    <w:p w14:paraId="3805CE82" w14:textId="77777777" w:rsidR="00D427EA" w:rsidRDefault="00835DF3">
      <w:r>
        <w:t>Iskazano potraživanje za naknade koje se refundiraju (bolovanje duže od 42 dana)</w:t>
      </w:r>
    </w:p>
    <w:p w14:paraId="51D02260" w14:textId="77777777" w:rsidR="00D427EA" w:rsidRDefault="00835DF3">
      <w:r>
        <w:t> </w:t>
      </w:r>
    </w:p>
    <w:p w14:paraId="38C38BDA" w14:textId="77777777" w:rsidR="00D427EA" w:rsidRDefault="00D427EA"/>
    <w:p w14:paraId="40D8EEE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6A37CC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2036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9B7C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BFE9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2FAF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399B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D119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7179DF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9C31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7E6701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271C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4703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0831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316.603,02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1857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1810,7</w:t>
            </w:r>
          </w:p>
        </w:tc>
      </w:tr>
    </w:tbl>
    <w:p w14:paraId="6B84DC35" w14:textId="77777777" w:rsidR="00D427EA" w:rsidRDefault="00D427EA">
      <w:pPr>
        <w:spacing w:after="0"/>
      </w:pPr>
    </w:p>
    <w:p w14:paraId="6300CA6C" w14:textId="77777777" w:rsidR="00D427EA" w:rsidRDefault="00835DF3">
      <w:r>
        <w:t>Potraživanja za prihode za plaću zaposlenih za prosinac, materijalna prava za prosinac i prehranu za 12/2025 - 209.422,84 eura</w:t>
      </w:r>
    </w:p>
    <w:p w14:paraId="3062841A" w14:textId="77777777" w:rsidR="00D427EA" w:rsidRDefault="00835DF3">
      <w:r>
        <w:t>Potraživanje za sredstva uplaćena u nadležni proračun Osnivača -167- 85.632,34 eura</w:t>
      </w:r>
    </w:p>
    <w:p w14:paraId="4E729E61" w14:textId="77777777" w:rsidR="00D427EA" w:rsidRDefault="00D427EA"/>
    <w:p w14:paraId="1E32CD4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7DC15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9CEB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B5B7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0545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0A0B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16F5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9D3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1A5606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6AEE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DFF56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77B5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4890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9E7A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215.245,71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7B84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1540789" w14:textId="77777777" w:rsidR="00D427EA" w:rsidRDefault="00D427EA">
      <w:pPr>
        <w:spacing w:after="0"/>
      </w:pPr>
    </w:p>
    <w:p w14:paraId="3FB217E1" w14:textId="77777777" w:rsidR="00D427EA" w:rsidRDefault="00835DF3">
      <w:r>
        <w:t>Potraživanja za prihode za plaću zaposlenih za prosinac, materijalna prava za prosinac i prehranu za 12/2025</w:t>
      </w:r>
    </w:p>
    <w:p w14:paraId="2E4AF3C6" w14:textId="77777777" w:rsidR="00D427EA" w:rsidRDefault="00D427EA"/>
    <w:p w14:paraId="0C76AF07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145CEA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5469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18DF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FC2F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6C11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B516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E840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4E13A7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53DF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6730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7FF5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C0CC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181.450,58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38D3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CEC5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3095C60" w14:textId="77777777" w:rsidR="00D427EA" w:rsidRDefault="00D427EA">
      <w:pPr>
        <w:spacing w:after="0"/>
      </w:pPr>
    </w:p>
    <w:p w14:paraId="7929BFCA" w14:textId="77777777" w:rsidR="00D427EA" w:rsidRDefault="00835DF3">
      <w:r>
        <w:t>193 skupina je ukinuta, te se potraživanja za plaću iskazuju na računu iz računskog plana 96 i 16.</w:t>
      </w:r>
    </w:p>
    <w:p w14:paraId="51AF9E52" w14:textId="77777777" w:rsidR="00D427EA" w:rsidRDefault="00D427EA"/>
    <w:p w14:paraId="5959860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6567A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7BD5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89E8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6AA0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5106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40F8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541B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18A18C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4E82A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B69E0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98F5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BE13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1.968.363,28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B6C6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2.098.772,16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9593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0896B57C" w14:textId="77777777" w:rsidR="00D427EA" w:rsidRDefault="00D427EA">
      <w:pPr>
        <w:spacing w:after="0"/>
      </w:pPr>
    </w:p>
    <w:p w14:paraId="18BCFA04" w14:textId="77777777" w:rsidR="00D427EA" w:rsidRDefault="00835DF3">
      <w:r>
        <w:t>Obveze u iznosu od 234.868,54 eura čine: obveze za zaposlene od 205.593,64 eura, obveze za materijalne rashode od 27.649,24 eura (prehrana i prijevoz zaposlenika) .</w:t>
      </w:r>
    </w:p>
    <w:p w14:paraId="24D02620" w14:textId="77777777" w:rsidR="00D427EA" w:rsidRDefault="00835DF3">
      <w:r>
        <w:t>Vlastiti izvori u iznosu od 1.861.570,43 eura. </w:t>
      </w:r>
    </w:p>
    <w:p w14:paraId="605355B7" w14:textId="77777777" w:rsidR="00D427EA" w:rsidRDefault="00D427EA"/>
    <w:p w14:paraId="780C413E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31416C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FD9B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0146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C765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57C5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F018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B34B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6852F5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D450B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E943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88D99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CDFFB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958E7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4830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1B0D418" w14:textId="77777777" w:rsidR="00D427EA" w:rsidRDefault="00D427EA">
      <w:pPr>
        <w:spacing w:after="0"/>
      </w:pPr>
    </w:p>
    <w:p w14:paraId="07C57E81" w14:textId="77777777" w:rsidR="00D427EA" w:rsidRDefault="00835DF3">
      <w:r>
        <w:t>Polog od jamčevine</w:t>
      </w:r>
    </w:p>
    <w:p w14:paraId="3E92CFEA" w14:textId="77777777" w:rsidR="00D427EA" w:rsidRDefault="00D427EA"/>
    <w:p w14:paraId="213F0E90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99C3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E79E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6CF8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56F7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25C9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6A21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402C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61506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1D35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5A60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ED97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AA22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B4A71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3CB8F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9B4616" w14:textId="77777777" w:rsidR="00D427EA" w:rsidRDefault="00D427EA">
      <w:pPr>
        <w:spacing w:after="0"/>
      </w:pPr>
    </w:p>
    <w:p w14:paraId="02DCB45B" w14:textId="77777777" w:rsidR="00D427EA" w:rsidRDefault="00835DF3">
      <w:r>
        <w:t>Obveze za nabavu nefinancijske imovine</w:t>
      </w:r>
    </w:p>
    <w:p w14:paraId="67FFABFF" w14:textId="77777777" w:rsidR="00D427EA" w:rsidRDefault="00D427EA"/>
    <w:p w14:paraId="56764488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2F5FF7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FFFA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F993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67E6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BBC3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137F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BF2D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F4992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C2CB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CF8C4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07A8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A5D1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254E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F42F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197,1</w:t>
            </w:r>
          </w:p>
        </w:tc>
      </w:tr>
    </w:tbl>
    <w:p w14:paraId="14756BD2" w14:textId="77777777" w:rsidR="00D427EA" w:rsidRDefault="00D427EA">
      <w:pPr>
        <w:spacing w:after="0"/>
      </w:pPr>
    </w:p>
    <w:p w14:paraId="77B6225D" w14:textId="77777777" w:rsidR="00D427EA" w:rsidRDefault="00835DF3">
      <w:r>
        <w:t xml:space="preserve">Sukladno Okružnici, zbog </w:t>
      </w:r>
      <w:proofErr w:type="spellStart"/>
      <w:r>
        <w:t>pšromjewne</w:t>
      </w:r>
      <w:proofErr w:type="spellEnd"/>
      <w:r>
        <w:t xml:space="preserve"> u načinu </w:t>
      </w:r>
      <w:proofErr w:type="spellStart"/>
      <w:r>
        <w:t>evidentiranmja</w:t>
      </w:r>
      <w:proofErr w:type="spellEnd"/>
      <w:r>
        <w:t xml:space="preserve"> i iskazivanja podataka u obrascu BIL, od 01.01. skupina 239 je ukinuta te se podaci prema novom pravilniku iskazuju na odgovarajućim računima u okviru skupine 27.</w:t>
      </w:r>
    </w:p>
    <w:p w14:paraId="21514A24" w14:textId="77777777" w:rsidR="00D427EA" w:rsidRDefault="00D427EA"/>
    <w:p w14:paraId="4696006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50563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A212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75FD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48031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69D6A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1952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46C2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215543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12BF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04917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0F78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5FAB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136.775,24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F5F0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-147.009,99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D3349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-107,5</w:t>
            </w:r>
          </w:p>
        </w:tc>
      </w:tr>
    </w:tbl>
    <w:p w14:paraId="5F13DFA1" w14:textId="77777777" w:rsidR="00D427EA" w:rsidRDefault="00D427EA">
      <w:pPr>
        <w:spacing w:after="0"/>
      </w:pPr>
    </w:p>
    <w:p w14:paraId="18771203" w14:textId="77777777" w:rsidR="00D427EA" w:rsidRDefault="00835DF3">
      <w:r>
        <w:t>U navedenom razdoblju, preneseni višak prihoda poslovanja od 136.775,24 eura, preklopio se sa nastalim manjkom prihoda od 283.785,23 eura , te ukupni manjak prihoda na kraju izvještajnog razdoblja iznosi 147.009,99 eura (koji se odnosi na dospjele, a neplaćene obveze: plaće djelatnika za 12/2025 u iznosu od 198.369,91 eura, materijalna prava za 12/2025 u iznosu od 1.138,27 eura, prehrana za prosinac u iznosu od 9.914,66 eura, obveze za materijalne rashode, obveze za povrat u proračun koje refundira HZZO .</w:t>
      </w:r>
    </w:p>
    <w:p w14:paraId="2AFAAD7F" w14:textId="77777777" w:rsidR="00D427EA" w:rsidRDefault="00D427EA"/>
    <w:p w14:paraId="6DDEA1A6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737FA3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C463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E1E1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64DF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9301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6502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D966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6BBD7A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69E1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B3FB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7BF7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86E3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8890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230.970,68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E6820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1321,0</w:t>
            </w:r>
          </w:p>
        </w:tc>
      </w:tr>
    </w:tbl>
    <w:p w14:paraId="5F118067" w14:textId="77777777" w:rsidR="00D427EA" w:rsidRDefault="00D427EA">
      <w:pPr>
        <w:spacing w:after="0"/>
      </w:pPr>
    </w:p>
    <w:p w14:paraId="3D77CBA8" w14:textId="77777777" w:rsidR="00D427EA" w:rsidRDefault="00835DF3">
      <w:r>
        <w:t>Obračunati prihodi  za plaću zaposlenih za 12/2025, za materijalna prava 12/2025 i prehranu 12/2025</w:t>
      </w:r>
    </w:p>
    <w:p w14:paraId="37CCB683" w14:textId="77777777" w:rsidR="00D427EA" w:rsidRDefault="00835DF3">
      <w:r>
        <w:lastRenderedPageBreak/>
        <w:t>U početnom stanju iskazano je stanje koje omaškom nije prikazano u bilanci prošle godine.</w:t>
      </w:r>
    </w:p>
    <w:p w14:paraId="43828832" w14:textId="77777777" w:rsidR="00D427EA" w:rsidRDefault="00D427EA"/>
    <w:p w14:paraId="01AFC062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D51A3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41763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21C1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D6BA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723A7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FBCE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E878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81CAF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BEA1A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0BB5E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prodaje nefinancijske imovine (šifre 971 do 974)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0C968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B86D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04A2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9C3E4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F954C51" w14:textId="77777777" w:rsidR="00D427EA" w:rsidRDefault="00D427EA">
      <w:pPr>
        <w:spacing w:after="0"/>
      </w:pPr>
    </w:p>
    <w:p w14:paraId="7D9DB4FC" w14:textId="77777777" w:rsidR="00D427EA" w:rsidRDefault="00835DF3">
      <w:r>
        <w:t>U početnom stanju iskazano je stanje koje omaškom nije prikazano u bilanci prošle godine.</w:t>
      </w:r>
    </w:p>
    <w:p w14:paraId="26352787" w14:textId="77777777" w:rsidR="00D427EA" w:rsidRDefault="00D427EA"/>
    <w:p w14:paraId="603A22CF" w14:textId="77777777" w:rsidR="00D427EA" w:rsidRDefault="00835DF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15644F4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27EA" w14:paraId="42A5A8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011BE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57C5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FF909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1A99B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4894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27CAD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492316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2A4EF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E610D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E361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D1E3D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3.079.133,29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DF1DC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3.657.670,44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46DB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14:paraId="6228A543" w14:textId="77777777" w:rsidR="00D427EA" w:rsidRDefault="00D427EA">
      <w:pPr>
        <w:spacing w:after="0"/>
      </w:pPr>
    </w:p>
    <w:p w14:paraId="4C58D5B4" w14:textId="77777777" w:rsidR="00D427EA" w:rsidRDefault="00835DF3">
      <w:r>
        <w:t xml:space="preserve">Osnovna škola </w:t>
      </w:r>
      <w:proofErr w:type="spellStart"/>
      <w:r>
        <w:t>Josipdol</w:t>
      </w:r>
      <w:proofErr w:type="spellEnd"/>
      <w:r>
        <w:t xml:space="preserve"> rashode prema funkcijskoj klasifikaciji ima iskazano na funkciji 0912 Osnovno obrazovanje, ali Škola je uključena i u razne projekte poput sheme Školskog voća, Pomoćnici u nastavi koji se bilježe na kartici 0960 Dodatne usluge u obrazovanju. </w:t>
      </w:r>
    </w:p>
    <w:p w14:paraId="070B367B" w14:textId="77777777" w:rsidR="00D427EA" w:rsidRDefault="00D427EA"/>
    <w:p w14:paraId="5435C93A" w14:textId="77777777" w:rsidR="00D427EA" w:rsidRDefault="00835DF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7586EB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427EA" w14:paraId="7BDAA3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5BED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6ECE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C7AE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37684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658D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001E5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5AB1E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26933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AB86C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1DA7A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187.043,51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772F5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CAE720" w14:textId="77777777" w:rsidR="00D427EA" w:rsidRDefault="00D427EA">
      <w:pPr>
        <w:spacing w:after="0"/>
      </w:pPr>
    </w:p>
    <w:p w14:paraId="7A11ABBC" w14:textId="77777777" w:rsidR="00D427EA" w:rsidRDefault="00835DF3">
      <w:r>
        <w:t>Obveze na početku izvještajnog razdoblja iznose 187.043,51 eura (plaća za 12/2024 koja je isplaćena u siječnju 2025.)</w:t>
      </w:r>
    </w:p>
    <w:p w14:paraId="12F655B1" w14:textId="77777777" w:rsidR="00D427EA" w:rsidRDefault="00D427EA"/>
    <w:p w14:paraId="0F422DA9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427EA" w14:paraId="0825C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E755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9BA92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72CA8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91D0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B298C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5520F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ED8DF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2BB4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76B96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7166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38778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E9B611" w14:textId="77777777" w:rsidR="00D427EA" w:rsidRDefault="00D427EA">
      <w:pPr>
        <w:spacing w:after="0"/>
      </w:pPr>
    </w:p>
    <w:p w14:paraId="7FFA8D87" w14:textId="77777777" w:rsidR="00D427EA" w:rsidRDefault="00835DF3">
      <w:r>
        <w:t>Na kraju izvještajnog razdoblja nemam dospjelih obveza. </w:t>
      </w:r>
    </w:p>
    <w:p w14:paraId="4A146EDA" w14:textId="77777777" w:rsidR="00D427EA" w:rsidRDefault="00D427EA"/>
    <w:p w14:paraId="0CED6FF3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427EA" w14:paraId="52A945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C6D16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1942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C4CC5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9DD70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0CA2F" w14:textId="77777777" w:rsidR="00D427EA" w:rsidRDefault="00835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27EA" w14:paraId="03C29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31386" w14:textId="77777777" w:rsidR="00D427EA" w:rsidRDefault="00D427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0E302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189B5" w14:textId="77777777" w:rsidR="00D427EA" w:rsidRDefault="00835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CD79E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237.201,73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8B3B3" w14:textId="77777777" w:rsidR="00D427EA" w:rsidRDefault="00835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5C584B" w14:textId="77777777" w:rsidR="00D427EA" w:rsidRDefault="00D427EA">
      <w:pPr>
        <w:spacing w:after="0"/>
      </w:pPr>
    </w:p>
    <w:p w14:paraId="23B40E0A" w14:textId="77777777" w:rsidR="00D427EA" w:rsidRDefault="00835DF3">
      <w:r>
        <w:t>V009=V006 Stanje obveza na kraju izvještajnog razdoblja odnose se na plaću djelatnika  od 198.369,91 eura, obveze za materijalne rashode od 9.914,66 eura prehrana - isplate u siječnju 2026.  i obveze za povrat u proračun  - bolovanje duže od 42 dana. </w:t>
      </w:r>
    </w:p>
    <w:p w14:paraId="4D8B5279" w14:textId="77777777" w:rsidR="00D427EA" w:rsidRDefault="00835DF3">
      <w:r>
        <w:t> </w:t>
      </w:r>
    </w:p>
    <w:p w14:paraId="74E7D8AD" w14:textId="77777777" w:rsidR="00D427EA" w:rsidRDefault="00D427EA"/>
    <w:p w14:paraId="7D705430" w14:textId="77777777" w:rsidR="00D427EA" w:rsidRDefault="00835DF3">
      <w:pPr>
        <w:keepNext/>
        <w:spacing w:line="240" w:lineRule="auto"/>
        <w:jc w:val="center"/>
      </w:pPr>
      <w:r>
        <w:rPr>
          <w:sz w:val="28"/>
        </w:rPr>
        <w:t>Bilješka 66.</w:t>
      </w:r>
    </w:p>
    <w:p w14:paraId="595AB2A4" w14:textId="77777777" w:rsidR="00D427EA" w:rsidRDefault="00835DF3">
      <w:pPr>
        <w:spacing w:line="240" w:lineRule="auto"/>
        <w:jc w:val="both"/>
      </w:pPr>
      <w:r>
        <w:rPr>
          <w:b/>
        </w:rPr>
        <w:t>EU izvještaj</w:t>
      </w:r>
    </w:p>
    <w:p w14:paraId="07842B80" w14:textId="77777777" w:rsidR="00D427EA" w:rsidRDefault="00835DF3">
      <w:r>
        <w:t xml:space="preserve">Osnova škola </w:t>
      </w:r>
      <w:proofErr w:type="spellStart"/>
      <w:r>
        <w:t>Josipdol</w:t>
      </w:r>
      <w:proofErr w:type="spellEnd"/>
      <w:r>
        <w:t xml:space="preserve"> u obvezi je izraditi EU izvještaj za svoje obračunate rashode i prihode po izvorima financiranja za praćenje EU sredstava i izvoru nacionalnog sufinanciranja. </w:t>
      </w:r>
    </w:p>
    <w:p w14:paraId="748592E1" w14:textId="77777777" w:rsidR="00D427EA" w:rsidRDefault="00835DF3">
      <w:r>
        <w:t>Kartica "Nacionalno sufinanciranje" i "561" popunjene su sa rashodima i prihodima od projekta Pomoćnici u nastavi. </w:t>
      </w:r>
    </w:p>
    <w:p w14:paraId="4360C995" w14:textId="77777777" w:rsidR="00D427EA" w:rsidRDefault="00D427EA"/>
    <w:sectPr w:rsidR="00D4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EA"/>
    <w:rsid w:val="00835DF3"/>
    <w:rsid w:val="00BA4E9A"/>
    <w:rsid w:val="00D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BB4C"/>
  <w15:docId w15:val="{8EEAF5F4-2016-4C88-9E07-73D2F0CE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4250</Words>
  <Characters>24226</Characters>
  <Application>Microsoft Office Word</Application>
  <DocSecurity>0</DocSecurity>
  <Lines>201</Lines>
  <Paragraphs>56</Paragraphs>
  <ScaleCrop>false</ScaleCrop>
  <Company/>
  <LinksUpToDate>false</LinksUpToDate>
  <CharactersWithSpaces>28420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Valentina Mihaljević Dujmić</cp:lastModifiedBy>
  <cp:revision>2</cp:revision>
  <dcterms:created xsi:type="dcterms:W3CDTF">2026-02-10T09:32:00Z</dcterms:created>
  <dcterms:modified xsi:type="dcterms:W3CDTF">2026-02-10T09:32:00Z</dcterms:modified>
</cp:coreProperties>
</file>